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219 vom 11. Mai 2026</w:t>
      </w:r>
    </w:p>
    <w:p>
      <w:r>
        <w:t>FR Kantonsgericht, 2026-05-11, FR</w:t>
      </w:r>
    </w:p>
    <w:p>
      <w:r>
        <w:rPr>
          <w:b/>
        </w:rPr>
        <w:t xml:space="preserve">Quelle: </w:t>
      </w:r>
      <w:r>
        <w:t>https://mcp.opencaselaw.ch/entscheid/fr_gerichte_608 2025 219</w:t>
      </w:r>
    </w:p>
    <w:p>
      <w:r>
        <w:t>FR: FR_GERICHTE 608 2025 219 du 11 mai 2026</w:t>
      </w:r>
    </w:p>
    <w:p>
      <w:r>
        <w:t>IT: FR_GERICHTE 608 2025 219 del 11 maggio 2026</w:t>
      </w:r>
    </w:p>
    <w:p>
      <w:pPr>
        <w:pStyle w:val="Heading2"/>
      </w:pPr>
      <w:r>
        <w:t>Erwägungen</w:t>
      </w:r>
    </w:p>
    <w:p>
      <w:r>
        <w:rPr>
          <w:b/>
        </w:rPr>
        <w:t>E. 22</w:t>
      </w:r>
    </w:p>
    <w:p>
      <w:r>
        <w:t>décembre 2023 au 31 août 2024, puis d'une incapacité de travail transitoire à 80% du 3 septembre 2024 au 3 décembre 2024, la capacité de travail était entière dans une activité adaptée. Aucun document médical mettant en doute cette constatation n'ayant été produit par l’assuré, elle a estimé qu'aucun examen sur sa personne n'était nécessaire. C. Contre cette décision, l'assuré interjette recours auprès du Tribunal cantonal le 20 novembre 2025. Il conclut à l'annulation de la décision précitée et à la reprise de l’instruction sous forme d’un examen par le médecin SMR. A l'appui de son recours, il fait valoir que les constatations de l’OAI relatives à sa capacité résiduelle de travail sont illusoires eu égard à son âge, à ses limitations fonctionnelles et à ses douleurs dues à ses différentes atteintes physiques. Il allègue en outre avoir</w:t>
      </w:r>
    </w:p>
    <w:p>
      <w:r>
        <w:t>Tribunal cantonal TC Page 3 de 10 commencé un traitement psychiatrique, dès lors que sa situation précaire a provoqué une dépression. Le 17 décembre 2025, le recourant s'est acquitté d'une avance de frais de CHF 800.-. Dans ses observations du 23 décembre 2025, l'OAI a conclu au rejet du recours en renvoyant aux motifs de sa décision. Appelée en cause le 6 février 2026 en sa qualité de fonds de prévoyance intéressé auquel la décision attaquée a été notifiée, la caisse de pension B.________ a renoncé à prendre position par courrier du 12 mars 2026. Aucun autre échange d'écritures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l'avance de frais ayant été versée dans le délai imparti, le recours est recevable. 2. 2.1. Aux termes de l'art. 8 al. 1 LPGA,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w:t>
      </w:r>
    </w:p>
    <w:p>
      <w:r>
        <w:t>Tribunal cantonal TC Page 4 de 10 pour quelles activités l'assuré est incapable de travailler. En outre, les données médicales constituent un élément utile pour déterminer quels travaux on peut encore, raisonnablement, exiger de l'assuré (ATF 125 V 256 consid. 4). 2.3. Conformément à l'art. 54a LAI, les offices AI mettent en place des services médicaux régionaux (SMR) interdisciplinaires. Le Conseil fédéral délimite les régions après avoir consulté les cantons (al. 1). Les SMR sont à la disposition des offices AI pour l'évaluation des conditions médicales du droit aux prestations (al. 2). Les SMR établissent les capacités fonctionnelles de l'assuré qui sont déterminantes pour l'assurance-invalidité en vertu de l'art. 6 LPGA, pour l'exercice d'une activité lucrative raisonnablement exigible ou pour l'accomplissement des travaux habituels (al. 3). Les SMR sont indépendants dans l'évaluation médicale des cas d'espèce (al. 4). Selon l'art. 49 RAI, les SMR évaluent les conditions médicales du droit aux prestations. Ils sont libres dans le choix de la méthode d'examen appropriée, dans le cadre de leurs compétences médicales et des directives spécialisées de portée générale de l'office fédéral (al. 1). Les SMR peuvent au besoin procéder eux-mêmes à des examens médicaux sur la personne des assurés. Ils consignent les résultats de ces examens par écrit (al. 2). Les SMR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TFA I 501/04 du 13 décembre 2005 consid. 4 et les références citées). La jurisprudence a souligné que le rapport d'un SMR qui ne se fonde pas sur un examen clinique est une simple recommandation qui ne peut avoir pour objet que d'indiquer quelle opinion médicale il convient de suivre ou, cas échéant, de proposer des investigations complémentaires (arrêt TF 9C_839/2015 du 2 mai 2016 consid. 3.3). 2.4.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2.5. En matière d'assurances sociales (cf. ATF 144 V 427 consid. 3.2; 140 III 610 consid. 4.1),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w:t>
      </w:r>
    </w:p>
    <w:p>
      <w:r>
        <w:t>Tribunal cantonal TC Page 5 de 10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atteinte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 2.6. Selon l’art. 87 al. 3 RAI,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Une fois que l’OAI entre en matière, elle ne peut plus rejeter la demande avec le même degré de retenue qu’en phase de plausibilité. Après l’entrée en matière, l’administration doit procéder à un examen complet de la situation médicale et économique.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Il y a lieu d’appliquer par analogie les conditions de la révision du droit à la rente selon l’art. 17 LPGA (ATF 130 V 64 consid. 1b). Selon l'art. 17 LPGA dans sa teneur déterminante ici,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112 V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dans le cadre d'une nouvelle demande comme lors d'une procédure de révision correspond à la dernière décision qui repose sur un examen matériel du droit à la rente, avec une constatation des faits pertinents, une appréciation des preuves et une comparaison des revenus conformes au droit (ATF 133 V 108 consid. 5 et réf. citées). Une communication, au sens de l'art. 74ter let. f RAI, a valeur de base de comparaison dans le temps si elle résulte d'un examen</w:t>
      </w:r>
    </w:p>
    <w:p>
      <w:r>
        <w:t>Tribunal cantonal TC Page 6 de 10 matériel du droit à la rente (cf. arrêts TF 9C_46/2009 du 14 août 2009 consid. 3.1 in SVR 2010 IV n° 4 p. 7; 9C_910/2010 du 7 juillet 2011 consid. 3.2 a contrario). 3. Est litigieux, en l'espèce, l'éventuel droit de l'assuré à des prestations AI. Il sied plus particulièrement de déterminer si, depuis la dernière décision lui refusant une rente, l'état de santé du recourant s'est dégradé notablement, de manière à influencer sa capacité de gain. 3.1. La dernière décision entrée en force reposant sur un examen matériel du droit à la rente est la décision de refus de rente du 22 juillet 2009 (doss. OAI p. 299). Dans cette décision, l'OAI-VD a retenu une pleine capacité de travail et un degré d'invalidité de 9,61%, se fondant sur l’avis de son médecin SMR. Celui-ci avait retenu ce qui suit (rapport du 18 février 2009; doss. OAI p. 259): "Cet assuré avait sub[i] un accident avec fracture du pilon tibial D en décembre 2006, prise en charge par arthrodèse. Cheville D bloquée depuis lors, rendant les déplacements sur sol irrégulier, montées/descentes d'escaliers, échafaudages difficile[s]. Outre (…) ce problème ostéoarticulaire, cet assuré souffre de vertiges sur dysplasie fibreuse du rocher G, raison pour laquelle, un travail en hauteur est contre-indiqué (risque de chute) et cela depuis 2002, date du diagnosti[c] de cette atteinte". Les limitations fonctionnelles étaient les suivantes: absence de travail accroupi, à genoux, en hauteur, avec déplacements sur de longues distances, sur sol irrégulier, et absence de montée/descente d'escaliers. 3.2. L’OAI est entré en matière sur la nouvelle demande déposée en août 2023. Cette entrée en matière apparaît justifiée. Depuis la décision de refus du 22 juillet 2009, plus de quatorze années se sont écoulées, le profil des limitations fonctionnelles s’est modifié et plusieurs nouvelles atteintes à la santé ont été évoquées, notamment une hernie discale cervicale C3–C4, des troubles dégénératifs cervico-lombaires, des atteintes aux épaules, une neuropathie du nerf ulnaire gauche, une épicondylite du coude gauche, des douleurs persistantes de la cheville droite arthrodésée et des vertiges rotatoires chroniques. Il convient dès lors d’examiner matériellement si l'aggravation de l’état de santé invoquée a ou non des effets sur la capacité de gain du recourant, au degré de la vraisemblance prépondérante. 3.3. La décision litigieuse repose sur l’analyse des pièces médicales opérée par le Dr C.________, spécialiste en médecine interne générale et médecin du SMR (rapport du 6 février 2025, doss. OAI p. 927). Ce médecin retient ce qui suit. L’assuré est connu pour "des troubles dégénératifs cervico-lombaires et tendinopathie du sus- épineux de l’épaule G. Se référer à l’appréciation du 15.7.24 par le Dr D.________, orthopédiste, concernant le sinistre du 22.12.23: chute de sa hauteur. Les différentes investigations radiologiques n'ont pas mis en évidence de lésions structurelles objectivables. A partir du 1.9.24, les suites de l’accident ne jouent plus aucun rôle au degré de la vraisemblance prépondérante. • Au niveau lombaire, il a présenté en septembre 2024 des lombosciatalgies G sur hernie discale L5 D ( discrépance radio-clinique) ayant bien répondu à une infiltration en septembre 2024 (Dr E.________). Une incapacité de travail à 80% du 3.9.24 au 3.12.24 est attestée par le [Dr] E.________ le 3.9.24 pour cette problématique.</w:t>
      </w:r>
    </w:p>
    <w:p>
      <w:r>
        <w:t>Tribunal cantonal TC Page 7 de 10 • Au niveau cervical, des cervicalgies post-traumatiques sont rapportées. Le Dr F.________, neurologue, atteste dans son rapport du 12.7.23 l’absence d’anomalie à la myographie des myotomes C4 jusqu’à C7 gauche et la notion d’une hernie discale C3-C4 connue. Un traitement conservateur avec éventuelle infiltration a été évoqué. • Au niveau de l’épaule G, le [Dr] E.________, orthopédiste (rapport du 13.3.24) et le Dr G.________, généraliste (rapport du 2.7.24), mentionnent une épaule gelée à G post- traumatique. L’IRM du 9.1.24 montre une tendinopathie avec probable rupture de quelques fibres superficielles du tendon sus-épineux (&lt;50% de son épaisseur et faiblement étendue). Le pronostic est décrit comme bon avec une incapacité de travail qui ne devrait pas dépasser fin août, la physiothérapie ayant une bonne efficacité au niveau de l’épaule et de la nuque. (Dans son rapport du 24.2.24, le Dr G.________ mentionnait déjà une amélioration possible après réhabilitation, dans une activité de chauffeur-livreur/agent d’exploitations). [L’assuré] est connu également pour une épicondylite du coude G (mentionnée en 2024) et une neuropathie du nerf ulnaire gauche (mentionnée en 2023) avec proposition de traitement conservateur. Il s’agit de problématiques bénignes qui peuvent être traitées efficacement et ne justifient pas d’une incapacité de travail durable. Notion également d’une chute sur l'épaule droite le 26.8.21. Il n’y a pas d’autre atteinte à la santé attestée médicalement, en particulier absence de suivi psychiatrique. Les douleurs de la cheville post-arthrodèse suite à une fracture complexe du pilon tibial à droite en 2006 sont traitées avec de la gabapentin/pregabalin. Une infiltration a été faite par le [Dr] E.________, orthopédiste, en raison d’un épisode de poussée inflammatoire en juillet 2024. Par décision de l’OAI du 22.7.09, des limitations fonctionnelles en lien avec cette atteinte à la santé ont déjà retenues, avec une capacité de travail nulle dans l’activité habituelle de plâtrier peintre et entière dans une activité adaptée. Enfin, concernant le sinistre du 13.10.21, l’appréciation du 28.8.23 du Dr H.________, orthopédiste, médecin conseil à la SUVA, mentionne qu’il n’y a aucune évidence de lésion structurelle, pouvant être attribué[e] comme consécutive à l'événement initial (seuls des éléments attestant de l'existence d'atteinte dégénérative sont mis en évidence). Au vu des diverses atteintes dégénératives présentées par l’assuré, en particulier au niveau lombaire ou des épaules, une limitation durable du port de charge à 5 kg max est justifiée, comme attesté par le Dr G.________ dans son rapport du 24.2.24". Le SMR conclut que l’assuré a présenté plusieurs atteintes successives, au niveau des épaules, cervical et lombaire, justifiant des incapacités de travail transitoires après les accidents (chutes) ou lors d’épisodes d’exacerbations des douleurs, comme on peut s’y attendre en présence de troubles dégénératifs, qui ont pu être traités efficacement avec un traitement conservateur (infiltrations, physiothérapie, antalgie). Partant, il suit l’appréciation de la SUVA, fixe au 31 août 2024 la fin de l’incapacité de travail en lien avec les suites du dernier accident du 22 décembre 2023 et confirme l’attestation par le Dr E.________, spécialiste en chirurgie orthopédique et traumatologie de l'appareil locomoteur, évoquant une incapacité transitoire. La capacité de travail dans une activité adaptée demeure entière, sous réserve d’une limitation du port de charges à 5 kg maximum, en raison des troubles dégénératifs, qui vient s'ajouter à celles déjà retenues en 2009. 3.4. Toutefois, plusieurs éléments du dossier soulèvent des doutes quant au caractère suffisant de cette appréciation. Le SMR s’est prononcé uniquement sur la base du dossier, sans procéder à un examen clinique de l’assuré. Or, la situation médicale apparaît complexe, compte tenu notamment du nombre d’atteintes</w:t>
      </w:r>
    </w:p>
    <w:p>
      <w:r>
        <w:t>Tribunal cantonal TC Page 8 de 10 invoquées, de la durée écoulée depuis la dernière évaluation médicale complète (en 2009) et des divergences entre les médecins. Dans ces circonstances, une appréciation faite uniquement sur la base du dossier doit être confirmée avec retenue. Dans son rapport du 24 février 2024 (doss. OAI p. 668), le Dr G.________, spécialiste en médecine interne et médecin traitant du recourant, relève notamment une baisse de rendement, des troubles de la concentration, des vertiges, et évoque la nécessité d’un examen neuropsychologique ainsi que d’un examen et traitement psychiatrique. Le médecin indique en outre réserver – pour définir les heures de travail encore exigibles – l’évaluation définitive de la capacité de travail dans l’attente du résultat d’une mesure de réhabilitation. Ce médecin estime également que l’assuré ne peut pas rester en position assise plus de 20 minutes, aspect sur lequel le médecin SMR ne se prononce pas. On peut ainsi douter d'être à même, comme le fait le SMR, de confirmer que le Dr G.________ attesterait d’une évolution favorable qui viendrait confirmer sa propre analyse. La Cour se réfère dans ce contexte au rapport du 2 juillet 2024 du Dr G.________ à l’intention de la SUVA (doss. OAI doc 193 p. 891), dans lequel ce praticien confirme certes que le status quo ante est atteint concernant l'accident d’août 2023 ayant touché l’épaule gauche, mais souligne en revanche que l’assurance-invalidité prendra en charge les autres problèmes de santé. Le médecin traitant évoque également un état dépressif et la nécessité d'un traitement y relatif. Le SMR se limite toutefois à constater l’absence de suivi psychiatrique pour exclure toute atteinte psychique. Une telle motivation apparaît lacunaire. En effet, l’absence de traitement spécialisé ne permet pas à elle seule d’exclure un trouble psychique invalidant, mais peut être un indice pour évaluer la gravité de celle-ci (cf. dans ce sens ATF 143 V 409 consid. 4.5.2.). Au demeurant, la nécessité d’un examen psychiatrique est expressément évoquée dans le rapport du Dr G.________ du 24 février 2024 (doss. OAI p. 668). Lors de la première procédure AI, les diagnostics retenus par le SMR dans son rapport du 18 février 2009 (doss. OAI p. 259) étaient essentiellement la fracture du pilon tibial droit en décembre 2006 avec arthrodèse de la cheville droite et les vertiges sur dysplasie fibreuse du rocher gauche diagnostiquée en 2002. Ces atteintes entraînaient notamment des limitations concernant les déplacements sur sol irrégulier, les escaliers et les travaux en hauteur. Depuis lors, plusieurs nouvelles atteintes ont été documentées, notamment des troubles dégénératifs cervico-lombaires, une tendinopathie du sus-épineux de l’épaule gauche, une épaule gelée gauche, une neuropathie ulnaire gauche et une épicondylite du coude gauche. Le médecin d’arrondissement de la SUVA, dans son rapport du 15 juillet 2024 (doss. OAI p. 888), relève d’ailleurs également l’existence d’atteintes dégénératives. Même si chacune de ces atteintes peut être considérée isolément, il convient d’examiner leur effet cumulé sur la capacité de travail. Il ressort en outre du dossier que le Dr E.________ atteste une incapacité totale de travail dans une attestation du 3 novembre 2025, produite avec le recours. Certes, ce document ne contient aucune motivation. Il constitue toutefois un élément médical divergent, susceptible de susciter un doute quant à l’avis du SMR qui fonde sa propre appréciation également sur les constats antérieurs du Dr E.________. Le SMR se réfère également aux appréciations des médecins-conseils de la SUVA. Toutefois, celles-ci ont pour objectif d’évaluer uniquement les suites des accidents, et non l’état de santé global</w:t>
      </w:r>
    </w:p>
    <w:p>
      <w:r>
        <w:t>Tribunal cantonal TC Page 9 de 10 au regard de l’assurance-invalidité. Le Dr G.________ souligne lui-même, comme déjà relevé (cf. rapport du 2 juillet 2024, doss. OAI p. 891), que les suites de l’accident ont disparu, mais que les autres problèmes de santé doivent être examinés par l’assurance-invalidité. Dans ces circonstances, la position de la SUVA ne saurait suffire pour apprécier la capacité de travail globale. Au vu de ce qui précède, l’état de fait médical apparaît insuffisamment établi. Des clarifications doivent en particulier concerner l’existence et l’impact du trouble dépressif et des troubles de la concentration évoqués par le médecin traitant (rapport du 24 février 2024, doss. OAI p. 668), l’effet cumulé des différentes atteintes dégénératives et l’impact fonctionnel des nouvelles atteintes dans une activité adaptée. Dans ces circonstances, l’administration ne pouvait pas se fonder uniquement sur l’avis du SMR et d’un médecin généraliste, pour conclure à une capacité de travail inchangée depuis la décision de 2009. Conformément au principe inquisitoire, il apparaît nécessaire de procéder à une instruction médicale complémentaire, sous la forme notamment d’une expertise médicale. La décision litigieuse doit dès lors être annulée et la cause renvoyée à l’OAI pour instruction complémentaire et nouvelle décision. 4. 4.1. Il s'ensuit que le recours doit être admis dans le sens des considérants 4.2. Vu le sort du recours, les frais de procédure, par CHF 800.-, sont mis à la charge de l’autorité intimée (art. 131 al. 1 2ème phr. du code fribourgeois du 23 mai 1991 de procédure et de juridiction administrative [CPJA; RSF 150.1]). L’avance de frais versée est restituée au recourant. (dispositif page suivante)</w:t>
      </w:r>
    </w:p>
    <w:p>
      <w:r>
        <w:t>Tribunal cantonal TC Page 10 de 10 la Cour arrête : I. Le recours est admis. Partant, la décision attaquée est annulée et le dossier renvoyé à l’autorité intimée pour instruction au sens des considérants et nouvelle décision. II. Les frais de procédure, par CHF 800.-, sont mis à la charge de l'Office de l'assurance-invalidité du canton de Fribourg. III. L'avance de frais de CHF 800.- est restituée au recourant.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mars 2026/jfr/cso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